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82" w:rsidRPr="004A4AD1" w:rsidRDefault="00EF7082" w:rsidP="00EF7082">
      <w:r>
        <w:rPr>
          <w:rFonts w:ascii="Lucida Sans Unicode" w:hAnsi="Lucida Sans Unicode" w:cs="Lucida Sans Unicode"/>
          <w:color w:val="333333"/>
          <w:sz w:val="20"/>
          <w:szCs w:val="20"/>
        </w:rPr>
        <w:t xml:space="preserve">Table </w:t>
      </w:r>
      <w:r w:rsidR="0003160A">
        <w:rPr>
          <w:rFonts w:ascii="Lucida Sans Unicode" w:hAnsi="Lucida Sans Unicode" w:cs="Lucida Sans Unicode"/>
          <w:color w:val="333333"/>
          <w:sz w:val="20"/>
          <w:szCs w:val="20"/>
        </w:rPr>
        <w:t>V</w:t>
      </w:r>
      <w:bookmarkStart w:id="0" w:name="_GoBack"/>
      <w:bookmarkEnd w:id="0"/>
      <w:r>
        <w:rPr>
          <w:rFonts w:ascii="Lucida Sans Unicode" w:hAnsi="Lucida Sans Unicode" w:cs="Lucida Sans Unicode"/>
          <w:color w:val="333333"/>
          <w:sz w:val="20"/>
          <w:szCs w:val="20"/>
        </w:rPr>
        <w:t>: Guidelines for When to Initiate Antiretroviral Therapy in Adults and Adolescents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EF7082" w:rsidRPr="00266F94" w:rsidTr="00E2500C">
        <w:tc>
          <w:tcPr>
            <w:tcW w:w="50" w:type="pct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F7082" w:rsidRPr="00266F94" w:rsidRDefault="00EF7082" w:rsidP="00E2500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Antiretroviral therapy (ART) is recommended for all HIV-infected individuals. The strength of this recommendation varies on the basis of pretreatment CD4 cell count: </w:t>
            </w:r>
          </w:p>
          <w:p w:rsidR="00EF7082" w:rsidRPr="00266F94" w:rsidRDefault="00EF7082" w:rsidP="00E2500C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>CD4 count &lt;350 cells/mm</w:t>
            </w: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vertAlign w:val="superscript"/>
              </w:rPr>
              <w:t>3</w:t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</w:rPr>
              <w:t xml:space="preserve"> (AI)</w:t>
            </w:r>
          </w:p>
          <w:p w:rsidR="00EF7082" w:rsidRPr="00266F94" w:rsidRDefault="00EF7082" w:rsidP="00E2500C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>CD4 count 350 to 500 cells/mm</w:t>
            </w: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vertAlign w:val="superscript"/>
              </w:rPr>
              <w:t>3</w:t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</w:rPr>
              <w:t xml:space="preserve"> (AII)</w:t>
            </w:r>
          </w:p>
          <w:p w:rsidR="00EF7082" w:rsidRPr="00266F94" w:rsidRDefault="00EF7082" w:rsidP="00E2500C">
            <w:pPr>
              <w:numPr>
                <w:ilvl w:val="1"/>
                <w:numId w:val="1"/>
              </w:numPr>
              <w:spacing w:before="100" w:beforeAutospacing="1" w:after="100" w:afterAutospacing="1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>CD4 count &gt;500 cells/mm</w:t>
            </w: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  <w:vertAlign w:val="superscript"/>
              </w:rPr>
              <w:t>3</w:t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</w:rPr>
              <w:t xml:space="preserve"> (BIII) </w:t>
            </w:r>
          </w:p>
        </w:tc>
      </w:tr>
      <w:tr w:rsidR="00EF7082" w:rsidRPr="00266F94" w:rsidTr="00E2500C">
        <w:tc>
          <w:tcPr>
            <w:tcW w:w="50" w:type="pct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F7082" w:rsidRPr="00266F94" w:rsidRDefault="00EF7082" w:rsidP="00E2500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Regardless of CD4 count, initiation of ART is strongly recommended for individuals with the following conditions: </w:t>
            </w:r>
          </w:p>
          <w:p w:rsidR="00EF7082" w:rsidRPr="00266F94" w:rsidRDefault="00EF7082" w:rsidP="00E2500C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Pregnancy </w:t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</w:rPr>
              <w:t>(AI)</w:t>
            </w: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 (see </w:t>
            </w:r>
            <w:hyperlink r:id="rId6" w:history="1">
              <w:r w:rsidRPr="00266F94">
                <w:rPr>
                  <w:rFonts w:ascii="Lucida Sans Unicode" w:eastAsia="Times New Roman" w:hAnsi="Lucida Sans Unicode" w:cs="Lucida Sans Unicode"/>
                  <w:color w:val="06539A"/>
                  <w:sz w:val="20"/>
                  <w:szCs w:val="20"/>
                </w:rPr>
                <w:t>perinatal guidelines</w:t>
              </w:r>
            </w:hyperlink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 for more detailed discussion)</w:t>
            </w:r>
          </w:p>
          <w:p w:rsidR="00EF7082" w:rsidRPr="00266F94" w:rsidRDefault="00EF7082" w:rsidP="00E2500C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History of an AIDS-defining illness </w:t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</w:rPr>
              <w:t>(AI)</w:t>
            </w:r>
          </w:p>
          <w:p w:rsidR="00EF7082" w:rsidRPr="00266F94" w:rsidRDefault="00EF7082" w:rsidP="00E2500C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HIV-associated nephropathy (HIVAN) </w:t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</w:rPr>
              <w:t>(AII)</w:t>
            </w:r>
          </w:p>
          <w:p w:rsidR="00EF7082" w:rsidRPr="00266F94" w:rsidRDefault="00EF7082" w:rsidP="00E2500C">
            <w:pPr>
              <w:numPr>
                <w:ilvl w:val="1"/>
                <w:numId w:val="2"/>
              </w:numPr>
              <w:spacing w:before="100" w:beforeAutospacing="1" w:after="100" w:afterAutospacing="1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HIV/hepatitis B virus (HBV) </w:t>
            </w:r>
            <w:proofErr w:type="spellStart"/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>coinfection</w:t>
            </w:r>
            <w:proofErr w:type="spellEnd"/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 </w:t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</w:rPr>
              <w:t>(AII)</w:t>
            </w:r>
          </w:p>
        </w:tc>
      </w:tr>
      <w:tr w:rsidR="00EF7082" w:rsidRPr="00266F94" w:rsidTr="00E2500C">
        <w:tc>
          <w:tcPr>
            <w:tcW w:w="50" w:type="pct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F7082" w:rsidRPr="00266F94" w:rsidRDefault="00EF7082" w:rsidP="00E2500C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>Effective ART also has been shown to prevent transmission of HIV from an infected individual to a sexual partner; therefore, ART should be offered to patients who are at risk of transmitting HIV to sexual partners (</w:t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</w:rPr>
              <w:t>AI</w:t>
            </w: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 [heterosexuals] or </w:t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</w:rPr>
              <w:t>AIII</w:t>
            </w: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 [other transmission risk groups]; see text for discussion).</w:t>
            </w:r>
          </w:p>
        </w:tc>
      </w:tr>
      <w:tr w:rsidR="00EF7082" w:rsidRPr="00266F94" w:rsidTr="00E2500C">
        <w:tc>
          <w:tcPr>
            <w:tcW w:w="50" w:type="pct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F7082" w:rsidRPr="00266F94" w:rsidRDefault="00EF7082" w:rsidP="00E2500C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Patients starting ART should be willing and able to commit to treatment and should understand the benefits and risks of therapy and the importance of adherence </w:t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0"/>
                <w:szCs w:val="20"/>
              </w:rPr>
              <w:t>(AIII).</w:t>
            </w:r>
            <w:r w:rsidRPr="00266F94"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  <w:t xml:space="preserve"> Patients may choose to postpone therapy, and providers, on a case-by-case basis, may elect to defer therapy on the basis of clinical and/or psychosocial factors.</w:t>
            </w:r>
          </w:p>
        </w:tc>
      </w:tr>
      <w:tr w:rsidR="00EF7082" w:rsidRPr="00266F94" w:rsidTr="00E2500C">
        <w:tc>
          <w:tcPr>
            <w:tcW w:w="0" w:type="auto"/>
            <w:vAlign w:val="center"/>
            <w:hideMark/>
          </w:tcPr>
          <w:p w:rsidR="00EF7082" w:rsidRPr="00266F94" w:rsidRDefault="00EF7082" w:rsidP="00E2500C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</w:p>
        </w:tc>
      </w:tr>
      <w:tr w:rsidR="00EF7082" w:rsidRPr="00266F94" w:rsidTr="00E2500C">
        <w:tc>
          <w:tcPr>
            <w:tcW w:w="0" w:type="auto"/>
            <w:vAlign w:val="center"/>
            <w:hideMark/>
          </w:tcPr>
          <w:p w:rsidR="00EF7082" w:rsidRPr="00266F94" w:rsidRDefault="00EF7082" w:rsidP="00E2500C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</w:p>
        </w:tc>
      </w:tr>
      <w:tr w:rsidR="00EF7082" w:rsidRPr="00266F94" w:rsidTr="00E2500C"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F7082" w:rsidRPr="00266F94" w:rsidRDefault="00EF7082" w:rsidP="00E2500C">
            <w:pPr>
              <w:spacing w:after="0" w:line="300" w:lineRule="atLeast"/>
              <w:rPr>
                <w:rFonts w:ascii="Lucida Sans Unicode" w:eastAsia="Times New Roman" w:hAnsi="Lucida Sans Unicode" w:cs="Lucida Sans Unicode"/>
                <w:color w:val="333333"/>
                <w:sz w:val="20"/>
                <w:szCs w:val="20"/>
              </w:rPr>
            </w:pPr>
            <w:r w:rsidRPr="00266F94">
              <w:rPr>
                <w:rFonts w:ascii="Lucida Sans Unicode" w:eastAsia="Times New Roman" w:hAnsi="Lucida Sans Unicode" w:cs="Lucida Sans Unicode"/>
                <w:color w:val="333333"/>
                <w:sz w:val="14"/>
                <w:szCs w:val="14"/>
              </w:rPr>
              <w:br/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333333"/>
                <w:sz w:val="14"/>
                <w:szCs w:val="14"/>
              </w:rPr>
              <w:t>Rating of Recommendations:</w:t>
            </w:r>
            <w:r w:rsidRPr="00266F94">
              <w:rPr>
                <w:rFonts w:ascii="Lucida Sans Unicode" w:eastAsia="Times New Roman" w:hAnsi="Lucida Sans Unicode" w:cs="Lucida Sans Unicode"/>
                <w:i/>
                <w:iCs/>
                <w:color w:val="333333"/>
                <w:sz w:val="14"/>
                <w:szCs w:val="14"/>
              </w:rPr>
              <w:t>  A = Strong; B = Moderate; C = Optional</w:t>
            </w:r>
            <w:r w:rsidRPr="00266F94">
              <w:rPr>
                <w:rFonts w:ascii="Lucida Sans Unicode" w:eastAsia="Times New Roman" w:hAnsi="Lucida Sans Unicode" w:cs="Lucida Sans Unicode"/>
                <w:i/>
                <w:iCs/>
                <w:color w:val="333333"/>
                <w:sz w:val="14"/>
                <w:szCs w:val="14"/>
              </w:rPr>
              <w:br/>
            </w:r>
            <w:r w:rsidRPr="00266F94">
              <w:rPr>
                <w:rFonts w:ascii="Lucida Sans Unicode" w:eastAsia="Times New Roman" w:hAnsi="Lucida Sans Unicode" w:cs="Lucida Sans Unicode"/>
                <w:b/>
                <w:bCs/>
                <w:i/>
                <w:iCs/>
                <w:color w:val="333333"/>
                <w:sz w:val="14"/>
                <w:szCs w:val="14"/>
              </w:rPr>
              <w:t>Rating of Evidence:</w:t>
            </w:r>
            <w:r w:rsidRPr="00266F94">
              <w:rPr>
                <w:rFonts w:ascii="Lucida Sans Unicode" w:eastAsia="Times New Roman" w:hAnsi="Lucida Sans Unicode" w:cs="Lucida Sans Unicode"/>
                <w:color w:val="333333"/>
                <w:sz w:val="14"/>
                <w:szCs w:val="14"/>
              </w:rPr>
              <w:t> </w:t>
            </w:r>
            <w:r w:rsidRPr="00266F94">
              <w:rPr>
                <w:rFonts w:ascii="Lucida Sans Unicode" w:eastAsia="Times New Roman" w:hAnsi="Lucida Sans Unicode" w:cs="Lucida Sans Unicode"/>
                <w:i/>
                <w:iCs/>
                <w:color w:val="333333"/>
                <w:sz w:val="14"/>
                <w:szCs w:val="14"/>
              </w:rPr>
              <w:t xml:space="preserve"> I = data from randomized controlled trials; II = data from well-designed nonrandomized trials or observational cohort studies with long-term clinical outcomes; III = expert opinion</w:t>
            </w:r>
          </w:p>
        </w:tc>
      </w:tr>
    </w:tbl>
    <w:p w:rsidR="00693CA2" w:rsidRDefault="00693CA2"/>
    <w:p w:rsidR="00EF7082" w:rsidRDefault="00EF7082" w:rsidP="00EF7082">
      <w:pPr>
        <w:rPr>
          <w:rFonts w:ascii="Lucida Sans Unicode" w:hAnsi="Lucida Sans Unicode" w:cs="Lucida Sans Unicode"/>
          <w:color w:val="333333"/>
          <w:sz w:val="20"/>
          <w:szCs w:val="20"/>
        </w:rPr>
      </w:pPr>
      <w:r>
        <w:t xml:space="preserve">From: </w:t>
      </w:r>
      <w:r>
        <w:rPr>
          <w:rFonts w:ascii="Lucida Sans Unicode" w:hAnsi="Lucida Sans Unicode" w:cs="Lucida Sans Unicode"/>
          <w:color w:val="333333"/>
          <w:sz w:val="20"/>
          <w:szCs w:val="20"/>
        </w:rPr>
        <w:t xml:space="preserve">Panel on Antiretroviral Guidelines for Adults and Adolescents. </w:t>
      </w:r>
      <w:proofErr w:type="gramStart"/>
      <w:r>
        <w:rPr>
          <w:rFonts w:ascii="Lucida Sans Unicode" w:hAnsi="Lucida Sans Unicode" w:cs="Lucida Sans Unicode"/>
          <w:color w:val="333333"/>
          <w:sz w:val="20"/>
          <w:szCs w:val="20"/>
        </w:rPr>
        <w:t>Guidelines for the use of antiretroviral agents in HIV-1-infected adults and adolescents.</w:t>
      </w:r>
      <w:proofErr w:type="gramEnd"/>
      <w:r>
        <w:rPr>
          <w:rFonts w:ascii="Lucida Sans Unicode" w:hAnsi="Lucida Sans Unicode" w:cs="Lucida Sans Unicode"/>
          <w:color w:val="333333"/>
          <w:sz w:val="20"/>
          <w:szCs w:val="20"/>
        </w:rPr>
        <w:t xml:space="preserve"> </w:t>
      </w:r>
      <w:proofErr w:type="gramStart"/>
      <w:r>
        <w:rPr>
          <w:rFonts w:ascii="Lucida Sans Unicode" w:hAnsi="Lucida Sans Unicode" w:cs="Lucida Sans Unicode"/>
          <w:color w:val="333333"/>
          <w:sz w:val="20"/>
          <w:szCs w:val="20"/>
        </w:rPr>
        <w:t>Department of Health and Human Services.</w:t>
      </w:r>
      <w:proofErr w:type="gramEnd"/>
      <w:r>
        <w:rPr>
          <w:rFonts w:ascii="Lucida Sans Unicode" w:hAnsi="Lucida Sans Unicode" w:cs="Lucida Sans Unicode"/>
          <w:color w:val="333333"/>
          <w:sz w:val="20"/>
          <w:szCs w:val="20"/>
        </w:rPr>
        <w:t> Updated 3/27/12.</w:t>
      </w:r>
      <w:r>
        <w:t xml:space="preserve"> </w:t>
      </w:r>
      <w:r>
        <w:rPr>
          <w:rFonts w:ascii="Lucida Sans Unicode" w:hAnsi="Lucida Sans Unicode" w:cs="Lucida Sans Unicode"/>
          <w:color w:val="333333"/>
          <w:sz w:val="20"/>
          <w:szCs w:val="20"/>
        </w:rPr>
        <w:t xml:space="preserve">Available at: </w:t>
      </w:r>
      <w:hyperlink r:id="rId7" w:tgtFrame="_blank" w:tooltip="http://aidsinfo.nih.gov/contentfiles/lvguidelines/AdultandAdolescentGL.pdf" w:history="1">
        <w:r>
          <w:rPr>
            <w:rFonts w:ascii="Lucida Sans Unicode" w:hAnsi="Lucida Sans Unicode" w:cs="Lucida Sans Unicode"/>
            <w:color w:val="06539A"/>
            <w:sz w:val="20"/>
            <w:szCs w:val="20"/>
            <w:u w:val="single"/>
            <w:shd w:val="clear" w:color="auto" w:fill="FFFFFF"/>
          </w:rPr>
          <w:t>http://aidsinfo.nih.gov/contentfiles/lvguidelines/AdultandAdolescentGL.pdf</w:t>
        </w:r>
      </w:hyperlink>
    </w:p>
    <w:p w:rsidR="00EF7082" w:rsidRDefault="00EF7082"/>
    <w:sectPr w:rsidR="00EF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1DF"/>
    <w:multiLevelType w:val="multilevel"/>
    <w:tmpl w:val="5F4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46F67"/>
    <w:multiLevelType w:val="multilevel"/>
    <w:tmpl w:val="092E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C016C"/>
    <w:multiLevelType w:val="multilevel"/>
    <w:tmpl w:val="7D4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84F6E"/>
    <w:multiLevelType w:val="multilevel"/>
    <w:tmpl w:val="FF16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82"/>
    <w:rsid w:val="0003160A"/>
    <w:rsid w:val="00693CA2"/>
    <w:rsid w:val="00E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idsinfo.nih.gov/contentfiles/lvguidelines/AdultandAdolescentG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info.nih.gov/guidelines/html/3/perinatal-guidelines/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Memorial Hospital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Chadwick, Ellen G.</dc:creator>
  <cp:lastModifiedBy>Donna</cp:lastModifiedBy>
  <cp:revision>2</cp:revision>
  <dcterms:created xsi:type="dcterms:W3CDTF">2013-02-12T23:57:00Z</dcterms:created>
  <dcterms:modified xsi:type="dcterms:W3CDTF">2013-02-12T23:57:00Z</dcterms:modified>
</cp:coreProperties>
</file>